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D3" w:rsidRDefault="00FE6FD3" w:rsidP="00FE6FD3">
      <w:pPr>
        <w:pStyle w:val="3"/>
        <w:rPr>
          <w:rFonts w:hint="cs"/>
          <w:rtl/>
        </w:rPr>
      </w:pPr>
      <w:r w:rsidRPr="00292575">
        <w:rPr>
          <w:rtl/>
        </w:rPr>
        <w:t xml:space="preserve">دادخواست قرار تأمین </w:t>
      </w:r>
      <w:r w:rsidRPr="00292575">
        <w:rPr>
          <w:rFonts w:hint="cs"/>
          <w:rtl/>
        </w:rPr>
        <w:t>خواسته</w:t>
      </w:r>
      <w:r w:rsidRPr="00292575">
        <w:rPr>
          <w:rtl/>
        </w:rPr>
        <w:t xml:space="preserve"> </w:t>
      </w:r>
      <w:r w:rsidRPr="00292575">
        <w:rPr>
          <w:rFonts w:hint="cs"/>
          <w:rtl/>
        </w:rPr>
        <w:t xml:space="preserve">عادی </w:t>
      </w:r>
      <w:r w:rsidRPr="00292575">
        <w:rPr>
          <w:rtl/>
        </w:rPr>
        <w:t>مهریه</w:t>
      </w:r>
    </w:p>
    <w:p w:rsidR="00FE6FD3" w:rsidRPr="00292575" w:rsidRDefault="00FE6FD3" w:rsidP="00FE6FD3">
      <w:pPr>
        <w:pStyle w:val="3"/>
      </w:pPr>
      <w:bookmarkStart w:id="0" w:name="_GoBack"/>
      <w:bookmarkEnd w:id="0"/>
    </w:p>
    <w:tbl>
      <w:tblPr>
        <w:bidiVisual/>
        <w:tblW w:w="6874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134"/>
        <w:gridCol w:w="803"/>
        <w:gridCol w:w="650"/>
        <w:gridCol w:w="2233"/>
      </w:tblGrid>
      <w:tr w:rsidR="00FE6FD3" w:rsidRPr="00292575" w:rsidTr="007C1138">
        <w:trPr>
          <w:trHeight w:val="20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03" w:type="dxa"/>
            <w:tcBorders>
              <w:top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650" w:type="dxa"/>
            <w:tcBorders>
              <w:top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3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شهر- خیابان- کوچه- شماره- پلاک</w:t>
            </w:r>
          </w:p>
        </w:tc>
      </w:tr>
      <w:tr w:rsidR="00FE6FD3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650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FE6FD3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tcBorders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FE6FD3" w:rsidRPr="00292575" w:rsidTr="007C1138">
        <w:trPr>
          <w:cantSplit/>
          <w:trHeight w:val="21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FE6FD3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صدور قرار تأمین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خواسته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عادی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مهریه</w:t>
            </w:r>
          </w:p>
        </w:tc>
      </w:tr>
      <w:tr w:rsidR="00FE6FD3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کپی مصدق عقدنامه</w:t>
            </w:r>
          </w:p>
        </w:tc>
      </w:tr>
      <w:tr w:rsidR="00FE6FD3" w:rsidRPr="00292575" w:rsidTr="007C1138">
        <w:trPr>
          <w:jc w:val="center"/>
        </w:trPr>
        <w:tc>
          <w:tcPr>
            <w:tcW w:w="687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قضائی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با سلام، احتراماً به استحضار می‌رساند:</w:t>
            </w:r>
          </w:p>
          <w:p w:rsidR="00FE6FD3" w:rsidRPr="00292575" w:rsidRDefault="00FE6FD3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جانبه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با خوانده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به‌موجب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عقدنامه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مورخ / /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ثبت‌شده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در دفترخانه شماره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عقد ازدواج دائم منعقد کرده‌ایم. نظر به اینکه مهریه مقرر در عقدنامه مذکور به میزان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ریال کلاً بر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ذمه زوج و عندالمطالبه می‌باشد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؛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فلذا با تقدیم این دادخواست به استناد ماده 1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0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8 قانون آیین دادرسی دادگاه‌های عمومی و انقلاب در امور مدنی صدور قرار تأمین مهریه مورد استدعاست. نظر به در معرض تضییع بودن مهریه اجرای قرار قبل از ابلاغ به تجویز ماده 117 قانون مذکور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موردتقاضاست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. دادخواست ماهیتی متعاقباً در مهلت ده روز تقدیم خواهد گردید.</w:t>
            </w:r>
          </w:p>
          <w:p w:rsidR="00FE6FD3" w:rsidRPr="00292575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                       </w:t>
            </w:r>
          </w:p>
          <w:p w:rsidR="00FE6FD3" w:rsidRPr="00292575" w:rsidRDefault="00FE6FD3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FE6FD3" w:rsidRPr="00292575" w:rsidRDefault="00FE6FD3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FE6FD3" w:rsidRPr="00292575" w:rsidRDefault="00FE6FD3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محل امضاء- مهر- انگشت</w:t>
            </w: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FE6FD3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FE6FD3" w:rsidRPr="00292575" w:rsidRDefault="00FE6FD3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D3"/>
    <w:rsid w:val="006D3626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FD3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FE6FD3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6FD3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FE6FD3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2019-11-05T07:23:00Z</dcterms:created>
  <dcterms:modified xsi:type="dcterms:W3CDTF">2019-11-05T07:23:00Z</dcterms:modified>
</cp:coreProperties>
</file>